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54D6F" w14:textId="77777777" w:rsidR="007D4564" w:rsidRDefault="007D4564"/>
    <w:p w14:paraId="4CC89C80" w14:textId="77777777" w:rsidR="00CA7AC2" w:rsidRDefault="00CA7AC2">
      <w:pPr>
        <w:rPr>
          <w:i/>
        </w:rPr>
      </w:pPr>
      <w:r>
        <w:rPr>
          <w:b/>
          <w:u w:val="single"/>
        </w:rPr>
        <w:t>Directions</w:t>
      </w:r>
      <w:r>
        <w:t>:</w:t>
      </w:r>
      <w:r>
        <w:rPr>
          <w:i/>
        </w:rPr>
        <w:t xml:space="preserve"> Answer the questions below in complete sentences. Use details from the textbook when appropriate. </w:t>
      </w:r>
    </w:p>
    <w:p w14:paraId="4728BA09" w14:textId="77777777" w:rsidR="00CA7AC2" w:rsidRDefault="00CA7AC2">
      <w:pPr>
        <w:rPr>
          <w:i/>
        </w:rPr>
      </w:pPr>
    </w:p>
    <w:p w14:paraId="0075B574" w14:textId="77777777" w:rsidR="00CA7AC2" w:rsidRDefault="00CA7AC2">
      <w:pPr>
        <w:rPr>
          <w:i/>
        </w:rPr>
      </w:pPr>
    </w:p>
    <w:p w14:paraId="3EBECFE0" w14:textId="77777777" w:rsidR="00CA7AC2" w:rsidRDefault="00CA7AC2" w:rsidP="00CA7AC2">
      <w:pPr>
        <w:pStyle w:val="ListParagraph"/>
        <w:numPr>
          <w:ilvl w:val="0"/>
          <w:numId w:val="1"/>
        </w:numPr>
      </w:pPr>
      <w:r>
        <w:t>What is the role of the Federal Trade Commission (FTC)?</w:t>
      </w:r>
    </w:p>
    <w:p w14:paraId="393988B6" w14:textId="77777777" w:rsidR="00CA7AC2" w:rsidRDefault="00CA7AC2" w:rsidP="00CA7AC2">
      <w:pPr>
        <w:pStyle w:val="ListParagraph"/>
        <w:numPr>
          <w:ilvl w:val="0"/>
          <w:numId w:val="1"/>
        </w:numPr>
      </w:pPr>
      <w:r>
        <w:t>What is the role of the Federal Communications Commission (FCC)?</w:t>
      </w:r>
    </w:p>
    <w:p w14:paraId="6F3E863B" w14:textId="77777777" w:rsidR="00CA7AC2" w:rsidRDefault="00CA7AC2" w:rsidP="00CA7AC2">
      <w:pPr>
        <w:pStyle w:val="ListParagraph"/>
        <w:numPr>
          <w:ilvl w:val="0"/>
          <w:numId w:val="1"/>
        </w:numPr>
      </w:pPr>
      <w:r>
        <w:t xml:space="preserve">Describe restrictions the Court has upheld regarding commercial speech. </w:t>
      </w:r>
    </w:p>
    <w:p w14:paraId="4CB076A6" w14:textId="77777777" w:rsidR="00CA7AC2" w:rsidRDefault="00CA7AC2" w:rsidP="00CA7AC2">
      <w:pPr>
        <w:pStyle w:val="ListParagraph"/>
        <w:numPr>
          <w:ilvl w:val="0"/>
          <w:numId w:val="1"/>
        </w:numPr>
      </w:pPr>
      <w:r>
        <w:t xml:space="preserve">Describe restrictions the Court has struck down regarding commercial speech. </w:t>
      </w:r>
    </w:p>
    <w:p w14:paraId="28C4A9D4" w14:textId="77777777" w:rsidR="00090EDD" w:rsidRDefault="00090EDD" w:rsidP="00CA7AC2">
      <w:pPr>
        <w:pStyle w:val="ListParagraph"/>
        <w:numPr>
          <w:ilvl w:val="0"/>
          <w:numId w:val="1"/>
        </w:numPr>
      </w:pPr>
      <w:r>
        <w:t xml:space="preserve">Identify and describe the two facets of the freedom of assembly. </w:t>
      </w:r>
    </w:p>
    <w:p w14:paraId="1BB3F698" w14:textId="77777777" w:rsidR="00090EDD" w:rsidRDefault="00090EDD" w:rsidP="00090EDD">
      <w:pPr>
        <w:pStyle w:val="ListParagraph"/>
        <w:numPr>
          <w:ilvl w:val="0"/>
          <w:numId w:val="1"/>
        </w:numPr>
      </w:pPr>
      <w:r>
        <w:t xml:space="preserve">Describe the Court’s ruling in </w:t>
      </w:r>
      <w:r>
        <w:rPr>
          <w:i/>
        </w:rPr>
        <w:t>Collins v. Smith</w:t>
      </w:r>
      <w:r>
        <w:t xml:space="preserve"> (1989) and explain its importance regarding the </w:t>
      </w:r>
      <w:r w:rsidR="00C55E0B">
        <w:t xml:space="preserve">right to assemble. </w:t>
      </w:r>
    </w:p>
    <w:p w14:paraId="6207F11F" w14:textId="77777777" w:rsidR="00C55E0B" w:rsidRDefault="00C55E0B" w:rsidP="00090EDD">
      <w:pPr>
        <w:pStyle w:val="ListParagraph"/>
        <w:numPr>
          <w:ilvl w:val="0"/>
          <w:numId w:val="1"/>
        </w:numPr>
      </w:pPr>
      <w:r>
        <w:t>Describe restrictions the Court has upheld regarding the right to assemble</w:t>
      </w:r>
      <w:bookmarkStart w:id="0" w:name="_GoBack"/>
      <w:bookmarkEnd w:id="0"/>
      <w:r>
        <w:t xml:space="preserve">. </w:t>
      </w:r>
    </w:p>
    <w:p w14:paraId="65BA0C2C" w14:textId="77777777" w:rsidR="00090EDD" w:rsidRDefault="00090EDD" w:rsidP="00090EDD">
      <w:pPr>
        <w:pStyle w:val="ListParagraph"/>
        <w:numPr>
          <w:ilvl w:val="0"/>
          <w:numId w:val="1"/>
        </w:numPr>
      </w:pPr>
      <w:r>
        <w:t xml:space="preserve">Describe the Court’s ruling in </w:t>
      </w:r>
      <w:r>
        <w:rPr>
          <w:i/>
        </w:rPr>
        <w:t>NAACP v. Alabama</w:t>
      </w:r>
      <w:r>
        <w:t xml:space="preserve"> (1958) and explain its importance regarding the </w:t>
      </w:r>
      <w:r w:rsidR="00C55E0B">
        <w:t>right to associate.</w:t>
      </w:r>
    </w:p>
    <w:p w14:paraId="2D71F2FD" w14:textId="77777777" w:rsidR="00090EDD" w:rsidRDefault="00090EDD" w:rsidP="00090EDD">
      <w:pPr>
        <w:pStyle w:val="ListParagraph"/>
        <w:numPr>
          <w:ilvl w:val="0"/>
          <w:numId w:val="1"/>
        </w:numPr>
      </w:pPr>
      <w:r>
        <w:t xml:space="preserve">Describe the Court’s ruling in </w:t>
      </w:r>
      <w:r>
        <w:rPr>
          <w:i/>
        </w:rPr>
        <w:t>D.C. v. Heller</w:t>
      </w:r>
      <w:r>
        <w:t xml:space="preserve"> (2008) and explain its importance regarding the Second Amendment. </w:t>
      </w:r>
    </w:p>
    <w:p w14:paraId="0783A92F" w14:textId="77777777" w:rsidR="00CA7AC2" w:rsidRPr="00CA7AC2" w:rsidRDefault="00090EDD" w:rsidP="00090EDD">
      <w:pPr>
        <w:pStyle w:val="ListParagraph"/>
        <w:numPr>
          <w:ilvl w:val="0"/>
          <w:numId w:val="1"/>
        </w:numPr>
      </w:pPr>
      <w:r>
        <w:t xml:space="preserve">Describe the Court’s ruling in </w:t>
      </w:r>
      <w:r>
        <w:rPr>
          <w:i/>
        </w:rPr>
        <w:t xml:space="preserve">McDonald v. Chicago </w:t>
      </w:r>
      <w:r>
        <w:t xml:space="preserve">(2010) and explain its importance regarding the Second Amendment.  </w:t>
      </w:r>
    </w:p>
    <w:sectPr w:rsidR="00CA7AC2" w:rsidRPr="00CA7AC2" w:rsidSect="00132AC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EDE77" w14:textId="77777777" w:rsidR="00090EDD" w:rsidRDefault="00090EDD" w:rsidP="00CA7AC2">
      <w:r>
        <w:separator/>
      </w:r>
    </w:p>
  </w:endnote>
  <w:endnote w:type="continuationSeparator" w:id="0">
    <w:p w14:paraId="579F79D8" w14:textId="77777777" w:rsidR="00090EDD" w:rsidRDefault="00090EDD" w:rsidP="00CA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E184F" w14:textId="77777777" w:rsidR="00090EDD" w:rsidRDefault="00090EDD" w:rsidP="00CA7AC2">
      <w:r>
        <w:separator/>
      </w:r>
    </w:p>
  </w:footnote>
  <w:footnote w:type="continuationSeparator" w:id="0">
    <w:p w14:paraId="478E83FB" w14:textId="77777777" w:rsidR="00090EDD" w:rsidRDefault="00090EDD" w:rsidP="00CA7AC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4726E" w14:textId="77777777" w:rsidR="00090EDD" w:rsidRDefault="00090EDD" w:rsidP="00CA7AC2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>Chapter 4 Focus Questions</w:t>
    </w:r>
    <w:r>
      <w:rPr>
        <w:b/>
      </w:rPr>
      <w:tab/>
      <w:t>Mrs. Madison</w:t>
    </w:r>
  </w:p>
  <w:p w14:paraId="02569937" w14:textId="77777777" w:rsidR="00090EDD" w:rsidRPr="00CA7AC2" w:rsidRDefault="00090EDD" w:rsidP="00CA7AC2">
    <w:pPr>
      <w:pStyle w:val="Header"/>
      <w:jc w:val="center"/>
      <w:rPr>
        <w:b/>
      </w:rPr>
    </w:pPr>
    <w:proofErr w:type="gramStart"/>
    <w:r>
      <w:rPr>
        <w:b/>
      </w:rPr>
      <w:t>pp</w:t>
    </w:r>
    <w:proofErr w:type="gramEnd"/>
    <w:r>
      <w:rPr>
        <w:b/>
      </w:rPr>
      <w:t>. 119-123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2353F"/>
    <w:multiLevelType w:val="hybridMultilevel"/>
    <w:tmpl w:val="4D401D82"/>
    <w:lvl w:ilvl="0" w:tplc="C770C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AC2"/>
    <w:rsid w:val="00090EDD"/>
    <w:rsid w:val="00132AC0"/>
    <w:rsid w:val="007D4564"/>
    <w:rsid w:val="008A0A71"/>
    <w:rsid w:val="00C55E0B"/>
    <w:rsid w:val="00CA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5395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7A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7AC2"/>
  </w:style>
  <w:style w:type="paragraph" w:styleId="Footer">
    <w:name w:val="footer"/>
    <w:basedOn w:val="Normal"/>
    <w:link w:val="FooterChar"/>
    <w:uiPriority w:val="99"/>
    <w:unhideWhenUsed/>
    <w:rsid w:val="00CA7A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7AC2"/>
  </w:style>
  <w:style w:type="paragraph" w:styleId="ListParagraph">
    <w:name w:val="List Paragraph"/>
    <w:basedOn w:val="Normal"/>
    <w:uiPriority w:val="34"/>
    <w:qFormat/>
    <w:rsid w:val="00CA7A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7A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7AC2"/>
  </w:style>
  <w:style w:type="paragraph" w:styleId="Footer">
    <w:name w:val="footer"/>
    <w:basedOn w:val="Normal"/>
    <w:link w:val="FooterChar"/>
    <w:uiPriority w:val="99"/>
    <w:unhideWhenUsed/>
    <w:rsid w:val="00CA7A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7AC2"/>
  </w:style>
  <w:style w:type="paragraph" w:styleId="ListParagraph">
    <w:name w:val="List Paragraph"/>
    <w:basedOn w:val="Normal"/>
    <w:uiPriority w:val="34"/>
    <w:qFormat/>
    <w:rsid w:val="00CA7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148</Words>
  <Characters>845</Characters>
  <Application>Microsoft Macintosh Word</Application>
  <DocSecurity>0</DocSecurity>
  <Lines>7</Lines>
  <Paragraphs>1</Paragraphs>
  <ScaleCrop>false</ScaleCrop>
  <Company>Peoria Notre Dame High School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2</cp:revision>
  <dcterms:created xsi:type="dcterms:W3CDTF">2013-09-24T19:19:00Z</dcterms:created>
  <dcterms:modified xsi:type="dcterms:W3CDTF">2013-09-25T00:54:00Z</dcterms:modified>
</cp:coreProperties>
</file>